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2F" w:rsidRDefault="008C7C2F" w:rsidP="00BF23A8">
      <w:pPr>
        <w:pStyle w:val="Heading2"/>
      </w:pPr>
      <w:r>
        <w:rPr>
          <w:noProof/>
          <w:lang w:eastAsia="en-AU"/>
        </w:rPr>
        <w:drawing>
          <wp:inline distT="0" distB="0" distL="0" distR="0" wp14:anchorId="6C15FEEF" wp14:editId="6E7C2A78">
            <wp:extent cx="6057900" cy="9309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1905" cy="936127"/>
                    </a:xfrm>
                    <a:prstGeom prst="rect">
                      <a:avLst/>
                    </a:prstGeom>
                  </pic:spPr>
                </pic:pic>
              </a:graphicData>
            </a:graphic>
          </wp:inline>
        </w:drawing>
      </w:r>
    </w:p>
    <w:p w:rsidR="003D53F3" w:rsidRPr="00917577" w:rsidRDefault="003D53F3" w:rsidP="00917577">
      <w:pPr>
        <w:pStyle w:val="Heading3"/>
        <w:spacing w:before="100" w:beforeAutospacing="1" w:after="100" w:afterAutospacing="1"/>
        <w:jc w:val="center"/>
        <w:rPr>
          <w:b/>
          <w:sz w:val="32"/>
        </w:rPr>
      </w:pPr>
      <w:r w:rsidRPr="00917577">
        <w:rPr>
          <w:b/>
          <w:sz w:val="32"/>
        </w:rPr>
        <w:t xml:space="preserve">In Brief | </w:t>
      </w:r>
      <w:r w:rsidR="008C7C2F" w:rsidRPr="00917577">
        <w:rPr>
          <w:b/>
          <w:sz w:val="32"/>
        </w:rPr>
        <w:t xml:space="preserve">Mentoring </w:t>
      </w:r>
      <w:r w:rsidR="00BF23A8" w:rsidRPr="00917577">
        <w:rPr>
          <w:b/>
          <w:sz w:val="32"/>
        </w:rPr>
        <w:t>R</w:t>
      </w:r>
      <w:r w:rsidR="008C7C2F" w:rsidRPr="00917577">
        <w:rPr>
          <w:b/>
          <w:sz w:val="32"/>
        </w:rPr>
        <w:t xml:space="preserve">esources. Issue </w:t>
      </w:r>
      <w:r w:rsidR="00244A36">
        <w:rPr>
          <w:b/>
          <w:sz w:val="32"/>
        </w:rPr>
        <w:t>3</w:t>
      </w:r>
    </w:p>
    <w:p w:rsidR="00A312D2" w:rsidRPr="00BF23A8" w:rsidRDefault="00A312D2" w:rsidP="00BF23A8">
      <w:pPr>
        <w:spacing w:before="100" w:beforeAutospacing="1" w:after="100" w:afterAutospacing="1"/>
        <w:rPr>
          <w:rFonts w:cstheme="minorHAnsi"/>
          <w:b/>
          <w:bCs/>
        </w:rPr>
      </w:pPr>
      <w:r w:rsidRPr="00BF23A8">
        <w:rPr>
          <w:rFonts w:cstheme="minorHAnsi"/>
        </w:rPr>
        <w:t xml:space="preserve">This is the </w:t>
      </w:r>
      <w:r w:rsidR="00244A36">
        <w:rPr>
          <w:rFonts w:cstheme="minorHAnsi"/>
        </w:rPr>
        <w:t>third</w:t>
      </w:r>
      <w:r w:rsidRPr="00BF23A8">
        <w:rPr>
          <w:rFonts w:cstheme="minorHAnsi"/>
        </w:rPr>
        <w:t xml:space="preserve"> in a series of </w:t>
      </w:r>
      <w:r w:rsidRPr="00F95637">
        <w:rPr>
          <w:rFonts w:cstheme="minorHAnsi"/>
          <w:i/>
        </w:rPr>
        <w:t xml:space="preserve">Mentoring </w:t>
      </w:r>
      <w:r w:rsidR="00F95637">
        <w:rPr>
          <w:rFonts w:cstheme="minorHAnsi"/>
          <w:i/>
        </w:rPr>
        <w:t>Resources</w:t>
      </w:r>
      <w:r w:rsidRPr="00BF23A8">
        <w:rPr>
          <w:rFonts w:cstheme="minorHAnsi"/>
        </w:rPr>
        <w:t xml:space="preserve"> which will provide you with links to material that may be of interest to you between mentoring sessions.</w:t>
      </w:r>
      <w:r w:rsidR="00BF23A8">
        <w:rPr>
          <w:rFonts w:cstheme="minorHAnsi"/>
        </w:rPr>
        <w:t xml:space="preserve"> We hope you find them useful!</w:t>
      </w:r>
    </w:p>
    <w:tbl>
      <w:tblPr>
        <w:tblW w:w="952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77"/>
        <w:gridCol w:w="7543"/>
      </w:tblGrid>
      <w:tr w:rsidR="009A2287" w:rsidRPr="00BF23A8" w:rsidTr="00917577">
        <w:trPr>
          <w:trHeight w:val="1413"/>
          <w:tblCellSpacing w:w="7" w:type="dxa"/>
        </w:trPr>
        <w:tc>
          <w:tcPr>
            <w:tcW w:w="1956" w:type="dxa"/>
            <w:tcBorders>
              <w:top w:val="outset" w:sz="6" w:space="0" w:color="auto"/>
              <w:left w:val="outset" w:sz="6" w:space="0" w:color="auto"/>
              <w:bottom w:val="outset" w:sz="6" w:space="0" w:color="auto"/>
              <w:right w:val="outset" w:sz="6" w:space="0" w:color="auto"/>
            </w:tcBorders>
            <w:vAlign w:val="center"/>
          </w:tcPr>
          <w:p w:rsidR="009A2287" w:rsidRDefault="00D408D9" w:rsidP="003D53F3">
            <w:pPr>
              <w:rPr>
                <w:noProof/>
                <w:lang w:eastAsia="en-AU"/>
              </w:rPr>
            </w:pPr>
            <w:r>
              <w:rPr>
                <w:noProof/>
              </w:rPr>
              <w:drawing>
                <wp:inline distT="0" distB="0" distL="0" distR="0" wp14:anchorId="45DB0250" wp14:editId="108DEEC7">
                  <wp:extent cx="1203960" cy="846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3960" cy="846455"/>
                          </a:xfrm>
                          <a:prstGeom prst="rect">
                            <a:avLst/>
                          </a:prstGeom>
                        </pic:spPr>
                      </pic:pic>
                    </a:graphicData>
                  </a:graphic>
                </wp:inline>
              </w:drawing>
            </w:r>
          </w:p>
        </w:tc>
        <w:tc>
          <w:tcPr>
            <w:tcW w:w="7522" w:type="dxa"/>
            <w:tcBorders>
              <w:top w:val="outset" w:sz="6" w:space="0" w:color="auto"/>
              <w:left w:val="outset" w:sz="6" w:space="0" w:color="auto"/>
              <w:bottom w:val="outset" w:sz="6" w:space="0" w:color="auto"/>
              <w:right w:val="outset" w:sz="6" w:space="0" w:color="auto"/>
            </w:tcBorders>
            <w:vAlign w:val="center"/>
          </w:tcPr>
          <w:p w:rsidR="009A2287" w:rsidRDefault="009A2287" w:rsidP="008379AE">
            <w:pPr>
              <w:spacing w:after="0" w:line="240" w:lineRule="auto"/>
              <w:outlineLvl w:val="0"/>
              <w:rPr>
                <w:rFonts w:cstheme="minorHAnsi"/>
              </w:rPr>
            </w:pPr>
            <w:r w:rsidRPr="00740587">
              <w:rPr>
                <w:rFonts w:cstheme="minorHAnsi"/>
              </w:rPr>
              <w:t xml:space="preserve">The </w:t>
            </w:r>
            <w:r w:rsidR="00244A36">
              <w:rPr>
                <w:rFonts w:cstheme="minorHAnsi"/>
              </w:rPr>
              <w:t xml:space="preserve">third </w:t>
            </w:r>
            <w:r>
              <w:rPr>
                <w:rFonts w:cstheme="minorHAnsi"/>
              </w:rPr>
              <w:t>Speaker Event</w:t>
            </w:r>
            <w:r w:rsidRPr="00740587">
              <w:rPr>
                <w:rFonts w:cstheme="minorHAnsi"/>
              </w:rPr>
              <w:t xml:space="preserve"> in our 2017 Mentoring series</w:t>
            </w:r>
            <w:r>
              <w:rPr>
                <w:rFonts w:cstheme="minorHAnsi"/>
              </w:rPr>
              <w:t xml:space="preserve"> </w:t>
            </w:r>
            <w:r w:rsidR="00244A36">
              <w:rPr>
                <w:rFonts w:cstheme="minorHAnsi"/>
              </w:rPr>
              <w:t>was a fascinating discussion with Dr Marianne Broadbent, Managing Partner at NGS Global</w:t>
            </w:r>
            <w:r>
              <w:rPr>
                <w:rFonts w:cstheme="minorHAnsi"/>
              </w:rPr>
              <w:t>.</w:t>
            </w:r>
          </w:p>
          <w:p w:rsidR="008379AE" w:rsidRDefault="008379AE" w:rsidP="008379AE">
            <w:pPr>
              <w:spacing w:after="0" w:line="240" w:lineRule="auto"/>
              <w:outlineLvl w:val="0"/>
              <w:rPr>
                <w:rFonts w:cstheme="minorHAnsi"/>
              </w:rPr>
            </w:pPr>
          </w:p>
          <w:p w:rsidR="009A2287" w:rsidRPr="00740587" w:rsidRDefault="00244A36" w:rsidP="008379AE">
            <w:pPr>
              <w:spacing w:after="0" w:line="240" w:lineRule="auto"/>
              <w:outlineLvl w:val="0"/>
              <w:rPr>
                <w:rFonts w:cstheme="minorHAnsi"/>
              </w:rPr>
            </w:pPr>
            <w:r>
              <w:rPr>
                <w:rFonts w:cstheme="minorHAnsi"/>
              </w:rPr>
              <w:t xml:space="preserve">Marianne began her presentation by talking about her “blended life”. She began work as a high school teacher and has had many and varied roles since then, as well as raising four children and doing her Ph D. </w:t>
            </w:r>
            <w:r w:rsidR="00A4621E">
              <w:rPr>
                <w:rFonts w:cstheme="minorHAnsi"/>
              </w:rPr>
              <w:t xml:space="preserve"> </w:t>
            </w:r>
            <w:r>
              <w:rPr>
                <w:rFonts w:cstheme="minorHAnsi"/>
              </w:rPr>
              <w:t xml:space="preserve">This required her to </w:t>
            </w:r>
            <w:r w:rsidR="009B6E26">
              <w:rPr>
                <w:rFonts w:cstheme="minorHAnsi"/>
              </w:rPr>
              <w:t>‘</w:t>
            </w:r>
            <w:r w:rsidR="00D408D9" w:rsidRPr="00D408D9">
              <w:rPr>
                <w:rFonts w:cstheme="minorHAnsi"/>
              </w:rPr>
              <w:t>brave up</w:t>
            </w:r>
            <w:r w:rsidR="009B6E26">
              <w:rPr>
                <w:rFonts w:cstheme="minorHAnsi"/>
              </w:rPr>
              <w:t>’</w:t>
            </w:r>
            <w:r w:rsidR="00D408D9">
              <w:rPr>
                <w:rFonts w:cstheme="minorHAnsi"/>
              </w:rPr>
              <w:t xml:space="preserve"> -Kathy </w:t>
            </w:r>
            <w:proofErr w:type="spellStart"/>
            <w:r w:rsidR="00D408D9">
              <w:rPr>
                <w:rFonts w:cstheme="minorHAnsi"/>
              </w:rPr>
              <w:t>Kaprino</w:t>
            </w:r>
            <w:proofErr w:type="spellEnd"/>
            <w:r w:rsidR="00D408D9">
              <w:rPr>
                <w:rFonts w:cstheme="minorHAnsi"/>
              </w:rPr>
              <w:t xml:space="preserve"> provides some hints for how to do this in this Forbes </w:t>
            </w:r>
            <w:hyperlink r:id="rId9" w:anchor="23f1e1cb1093" w:history="1">
              <w:r w:rsidR="00D408D9" w:rsidRPr="00D408D9">
                <w:rPr>
                  <w:rStyle w:val="Hyperlink"/>
                  <w:rFonts w:cstheme="minorHAnsi"/>
                </w:rPr>
                <w:t>article</w:t>
              </w:r>
            </w:hyperlink>
            <w:r w:rsidR="00D408D9">
              <w:rPr>
                <w:rFonts w:cstheme="minorHAnsi"/>
              </w:rPr>
              <w:t xml:space="preserve">. </w:t>
            </w:r>
          </w:p>
        </w:tc>
      </w:tr>
      <w:tr w:rsidR="00917577" w:rsidRPr="00BF23A8" w:rsidTr="00197355">
        <w:trPr>
          <w:trHeight w:val="1680"/>
          <w:tblCellSpacing w:w="7" w:type="dxa"/>
        </w:trPr>
        <w:tc>
          <w:tcPr>
            <w:tcW w:w="1956" w:type="dxa"/>
            <w:tcBorders>
              <w:top w:val="outset" w:sz="6" w:space="0" w:color="auto"/>
              <w:left w:val="outset" w:sz="6" w:space="0" w:color="auto"/>
              <w:bottom w:val="outset" w:sz="6" w:space="0" w:color="auto"/>
              <w:right w:val="outset" w:sz="6" w:space="0" w:color="auto"/>
            </w:tcBorders>
            <w:vAlign w:val="center"/>
          </w:tcPr>
          <w:p w:rsidR="00917577" w:rsidRDefault="00EE6A1A" w:rsidP="003D53F3">
            <w:pPr>
              <w:rPr>
                <w:noProof/>
                <w:lang w:eastAsia="en-AU"/>
              </w:rPr>
            </w:pPr>
            <w:r>
              <w:rPr>
                <w:noProof/>
              </w:rPr>
              <w:drawing>
                <wp:inline distT="0" distB="0" distL="0" distR="0" wp14:anchorId="27A15E7E" wp14:editId="4318B5FD">
                  <wp:extent cx="1181767"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3157" cy="541656"/>
                          </a:xfrm>
                          <a:prstGeom prst="rect">
                            <a:avLst/>
                          </a:prstGeom>
                        </pic:spPr>
                      </pic:pic>
                    </a:graphicData>
                  </a:graphic>
                </wp:inline>
              </w:drawing>
            </w:r>
          </w:p>
        </w:tc>
        <w:tc>
          <w:tcPr>
            <w:tcW w:w="7522" w:type="dxa"/>
            <w:tcBorders>
              <w:top w:val="outset" w:sz="6" w:space="0" w:color="auto"/>
              <w:left w:val="outset" w:sz="6" w:space="0" w:color="auto"/>
              <w:bottom w:val="outset" w:sz="6" w:space="0" w:color="auto"/>
              <w:right w:val="outset" w:sz="6" w:space="0" w:color="auto"/>
            </w:tcBorders>
            <w:vAlign w:val="center"/>
          </w:tcPr>
          <w:p w:rsidR="007D787B" w:rsidRPr="007D787B" w:rsidRDefault="00D408D9" w:rsidP="007D787B">
            <w:pPr>
              <w:pStyle w:val="NormalWeb"/>
              <w:spacing w:before="0" w:beforeAutospacing="0" w:after="0" w:afterAutospacing="0"/>
              <w:rPr>
                <w:rFonts w:asciiTheme="minorHAnsi" w:hAnsiTheme="minorHAnsi" w:cstheme="minorHAnsi"/>
                <w:sz w:val="22"/>
                <w:szCs w:val="22"/>
              </w:rPr>
            </w:pPr>
            <w:r w:rsidRPr="007D787B">
              <w:rPr>
                <w:rFonts w:asciiTheme="minorHAnsi" w:hAnsiTheme="minorHAnsi" w:cstheme="minorHAnsi"/>
                <w:sz w:val="22"/>
                <w:szCs w:val="22"/>
              </w:rPr>
              <w:t>Marianne emphasised the importance of challenging yourself in your career, advising us to go where we will learn, where we will grow</w:t>
            </w:r>
            <w:r w:rsidR="007D787B" w:rsidRPr="007D787B">
              <w:rPr>
                <w:rFonts w:asciiTheme="minorHAnsi" w:hAnsiTheme="minorHAnsi" w:cstheme="minorHAnsi"/>
                <w:sz w:val="22"/>
                <w:szCs w:val="22"/>
              </w:rPr>
              <w:t>, telling us that</w:t>
            </w:r>
            <w:r w:rsidR="007D787B" w:rsidRPr="007D787B">
              <w:rPr>
                <w:rFonts w:asciiTheme="minorHAnsi" w:eastAsia="+mn-ea" w:hAnsiTheme="minorHAnsi" w:cstheme="minorHAnsi"/>
                <w:color w:val="000000"/>
                <w:kern w:val="24"/>
                <w:sz w:val="22"/>
                <w:szCs w:val="22"/>
                <w:lang w:val="en-US"/>
              </w:rPr>
              <w:t xml:space="preserve">, great talent will go to where it is appreciated, valued, and encouraged to thrive. </w:t>
            </w:r>
            <w:r w:rsidR="009B6E26">
              <w:rPr>
                <w:rFonts w:asciiTheme="minorHAnsi" w:eastAsia="+mn-ea" w:hAnsiTheme="minorHAnsi" w:cstheme="minorHAnsi"/>
                <w:color w:val="000000"/>
                <w:kern w:val="24"/>
                <w:sz w:val="22"/>
                <w:szCs w:val="22"/>
                <w:lang w:val="en-US"/>
              </w:rPr>
              <w:t xml:space="preserve">Marianne provided </w:t>
            </w:r>
            <w:hyperlink r:id="rId11" w:history="1">
              <w:r w:rsidR="009B6E26" w:rsidRPr="00EE6A1A">
                <w:rPr>
                  <w:rStyle w:val="Hyperlink"/>
                  <w:rFonts w:asciiTheme="minorHAnsi" w:eastAsia="+mn-ea" w:hAnsiTheme="minorHAnsi" w:cstheme="minorHAnsi"/>
                  <w:kern w:val="24"/>
                  <w:sz w:val="22"/>
                  <w:szCs w:val="22"/>
                  <w:lang w:val="en-US"/>
                </w:rPr>
                <w:t>10 Tips for Leading Yourself</w:t>
              </w:r>
            </w:hyperlink>
            <w:r w:rsidR="00EE6A1A">
              <w:rPr>
                <w:rFonts w:asciiTheme="minorHAnsi" w:eastAsia="+mn-ea" w:hAnsiTheme="minorHAnsi" w:cstheme="minorHAnsi"/>
                <w:color w:val="000000"/>
                <w:kern w:val="24"/>
                <w:sz w:val="22"/>
                <w:szCs w:val="22"/>
                <w:lang w:val="en-US"/>
              </w:rPr>
              <w:t>, including playing to your strengths, accepting responsibility for your development and not “doing guilt”.</w:t>
            </w:r>
          </w:p>
          <w:p w:rsidR="00917577" w:rsidRDefault="00917577" w:rsidP="008379AE">
            <w:pPr>
              <w:spacing w:after="0" w:line="240" w:lineRule="auto"/>
              <w:outlineLvl w:val="0"/>
            </w:pPr>
          </w:p>
        </w:tc>
      </w:tr>
      <w:tr w:rsidR="008352BE" w:rsidRPr="00BF23A8" w:rsidTr="009B6E26">
        <w:trPr>
          <w:trHeight w:val="1778"/>
          <w:tblCellSpacing w:w="7" w:type="dxa"/>
        </w:trPr>
        <w:tc>
          <w:tcPr>
            <w:tcW w:w="1956" w:type="dxa"/>
            <w:tcBorders>
              <w:top w:val="outset" w:sz="6" w:space="0" w:color="auto"/>
              <w:left w:val="outset" w:sz="6" w:space="0" w:color="auto"/>
              <w:bottom w:val="outset" w:sz="6" w:space="0" w:color="auto"/>
              <w:right w:val="outset" w:sz="6" w:space="0" w:color="auto"/>
            </w:tcBorders>
            <w:vAlign w:val="center"/>
          </w:tcPr>
          <w:p w:rsidR="008352BE" w:rsidRDefault="008352BE" w:rsidP="008379AE">
            <w:pPr>
              <w:spacing w:after="0" w:line="240" w:lineRule="auto"/>
              <w:rPr>
                <w:noProof/>
              </w:rPr>
            </w:pPr>
            <w:r>
              <w:rPr>
                <w:noProof/>
              </w:rPr>
              <w:drawing>
                <wp:inline distT="0" distB="0" distL="0" distR="0" wp14:anchorId="4D00A2D1" wp14:editId="30E64B16">
                  <wp:extent cx="1196340" cy="72878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9936" cy="730973"/>
                          </a:xfrm>
                          <a:prstGeom prst="rect">
                            <a:avLst/>
                          </a:prstGeom>
                        </pic:spPr>
                      </pic:pic>
                    </a:graphicData>
                  </a:graphic>
                </wp:inline>
              </w:drawing>
            </w:r>
          </w:p>
        </w:tc>
        <w:tc>
          <w:tcPr>
            <w:tcW w:w="7522" w:type="dxa"/>
            <w:tcBorders>
              <w:top w:val="outset" w:sz="6" w:space="0" w:color="auto"/>
              <w:left w:val="outset" w:sz="6" w:space="0" w:color="auto"/>
              <w:bottom w:val="outset" w:sz="6" w:space="0" w:color="auto"/>
              <w:right w:val="outset" w:sz="6" w:space="0" w:color="auto"/>
            </w:tcBorders>
            <w:vAlign w:val="center"/>
          </w:tcPr>
          <w:p w:rsidR="008352BE" w:rsidRDefault="008352BE" w:rsidP="008379AE">
            <w:pPr>
              <w:spacing w:after="0" w:line="240" w:lineRule="auto"/>
              <w:rPr>
                <w:rFonts w:cstheme="minorHAnsi"/>
              </w:rPr>
            </w:pPr>
            <w:r>
              <w:rPr>
                <w:rFonts w:cstheme="minorHAnsi"/>
              </w:rPr>
              <w:t xml:space="preserve">Another tip from Marianne was that we should always remember that, in career terms, we are marketing ourselves and should be able to articulate our story. In this </w:t>
            </w:r>
            <w:hyperlink r:id="rId13" w:history="1">
              <w:r w:rsidRPr="008352BE">
                <w:rPr>
                  <w:rStyle w:val="Hyperlink"/>
                  <w:rFonts w:cstheme="minorHAnsi"/>
                </w:rPr>
                <w:t>TED Talk</w:t>
              </w:r>
            </w:hyperlink>
            <w:r>
              <w:rPr>
                <w:rFonts w:cstheme="minorHAnsi"/>
              </w:rPr>
              <w:t xml:space="preserve">, Jacob Cass shows us how to build our personal brand. Three more talks on marketing yourself can be found </w:t>
            </w:r>
            <w:hyperlink r:id="rId14" w:history="1">
              <w:r w:rsidRPr="008352BE">
                <w:rPr>
                  <w:rStyle w:val="Hyperlink"/>
                  <w:rFonts w:cstheme="minorHAnsi"/>
                </w:rPr>
                <w:t>here</w:t>
              </w:r>
            </w:hyperlink>
            <w:r w:rsidR="00063DC8">
              <w:rPr>
                <w:rFonts w:cstheme="minorHAnsi"/>
              </w:rPr>
              <w:t>.</w:t>
            </w:r>
            <w:bookmarkStart w:id="0" w:name="_GoBack"/>
            <w:bookmarkEnd w:id="0"/>
          </w:p>
        </w:tc>
      </w:tr>
      <w:tr w:rsidR="00917577" w:rsidRPr="00BF23A8" w:rsidTr="009B6E26">
        <w:trPr>
          <w:trHeight w:val="1778"/>
          <w:tblCellSpacing w:w="7" w:type="dxa"/>
        </w:trPr>
        <w:tc>
          <w:tcPr>
            <w:tcW w:w="1956" w:type="dxa"/>
            <w:tcBorders>
              <w:top w:val="outset" w:sz="6" w:space="0" w:color="auto"/>
              <w:left w:val="outset" w:sz="6" w:space="0" w:color="auto"/>
              <w:bottom w:val="outset" w:sz="6" w:space="0" w:color="auto"/>
              <w:right w:val="outset" w:sz="6" w:space="0" w:color="auto"/>
            </w:tcBorders>
            <w:vAlign w:val="center"/>
            <w:hideMark/>
          </w:tcPr>
          <w:p w:rsidR="00917577" w:rsidRPr="00BF23A8" w:rsidRDefault="00063DC8" w:rsidP="008379AE">
            <w:pPr>
              <w:spacing w:after="0" w:line="240" w:lineRule="auto"/>
            </w:pPr>
            <w:r>
              <w:rPr>
                <w:noProof/>
              </w:rPr>
              <w:drawing>
                <wp:inline distT="0" distB="0" distL="0" distR="0" wp14:anchorId="6375CDD2" wp14:editId="59AC799F">
                  <wp:extent cx="1203960" cy="9874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3960" cy="987425"/>
                          </a:xfrm>
                          <a:prstGeom prst="rect">
                            <a:avLst/>
                          </a:prstGeom>
                        </pic:spPr>
                      </pic:pic>
                    </a:graphicData>
                  </a:graphic>
                </wp:inline>
              </w:drawing>
            </w:r>
          </w:p>
        </w:tc>
        <w:tc>
          <w:tcPr>
            <w:tcW w:w="7522" w:type="dxa"/>
            <w:tcBorders>
              <w:top w:val="outset" w:sz="6" w:space="0" w:color="auto"/>
              <w:left w:val="outset" w:sz="6" w:space="0" w:color="auto"/>
              <w:bottom w:val="outset" w:sz="6" w:space="0" w:color="auto"/>
              <w:right w:val="outset" w:sz="6" w:space="0" w:color="auto"/>
            </w:tcBorders>
            <w:vAlign w:val="center"/>
            <w:hideMark/>
          </w:tcPr>
          <w:p w:rsidR="00917577" w:rsidRPr="00BF23A8" w:rsidRDefault="007D787B" w:rsidP="008379AE">
            <w:pPr>
              <w:spacing w:after="0" w:line="240" w:lineRule="auto"/>
              <w:rPr>
                <w:rFonts w:cstheme="minorHAnsi"/>
              </w:rPr>
            </w:pPr>
            <w:r>
              <w:rPr>
                <w:rFonts w:cstheme="minorHAnsi"/>
              </w:rPr>
              <w:t xml:space="preserve">Marianne </w:t>
            </w:r>
            <w:r w:rsidRPr="007D787B">
              <w:rPr>
                <w:rFonts w:cstheme="minorHAnsi"/>
              </w:rPr>
              <w:t>described her work as an executive recruiter</w:t>
            </w:r>
            <w:r>
              <w:rPr>
                <w:rFonts w:cstheme="minorHAnsi"/>
              </w:rPr>
              <w:t xml:space="preserve"> and the need for us as individuals to have diversity in our careers</w:t>
            </w:r>
            <w:r w:rsidR="00063DC8">
              <w:rPr>
                <w:rFonts w:cstheme="minorHAnsi"/>
              </w:rPr>
              <w:t>.</w:t>
            </w:r>
            <w:r w:rsidR="00063DC8">
              <w:rPr>
                <w:rFonts w:cstheme="minorHAnsi"/>
              </w:rPr>
              <w:t xml:space="preserve">  Marianne also emphasised that successful career agility requires us to be able to learn and acquire new knowledge in our complex world. This</w:t>
            </w:r>
            <w:hyperlink r:id="rId16" w:history="1">
              <w:r w:rsidR="00063DC8" w:rsidRPr="00063DC8">
                <w:rPr>
                  <w:rStyle w:val="Hyperlink"/>
                  <w:rFonts w:cstheme="minorHAnsi"/>
                </w:rPr>
                <w:t xml:space="preserve"> post</w:t>
              </w:r>
            </w:hyperlink>
            <w:r w:rsidR="00063DC8">
              <w:rPr>
                <w:rFonts w:cstheme="minorHAnsi"/>
              </w:rPr>
              <w:t xml:space="preserve"> from Mentoring Works talks about career agility in the 21</w:t>
            </w:r>
            <w:r w:rsidR="00063DC8" w:rsidRPr="00063DC8">
              <w:rPr>
                <w:rFonts w:cstheme="minorHAnsi"/>
                <w:vertAlign w:val="superscript"/>
              </w:rPr>
              <w:t>st</w:t>
            </w:r>
            <w:r w:rsidR="00063DC8">
              <w:rPr>
                <w:rFonts w:cstheme="minorHAnsi"/>
              </w:rPr>
              <w:t xml:space="preserve"> century.</w:t>
            </w:r>
          </w:p>
        </w:tc>
      </w:tr>
      <w:tr w:rsidR="00063DC8" w:rsidRPr="00BF23A8" w:rsidTr="009B6E26">
        <w:trPr>
          <w:trHeight w:val="1778"/>
          <w:tblCellSpacing w:w="7" w:type="dxa"/>
        </w:trPr>
        <w:tc>
          <w:tcPr>
            <w:tcW w:w="1956" w:type="dxa"/>
            <w:tcBorders>
              <w:top w:val="outset" w:sz="6" w:space="0" w:color="auto"/>
              <w:left w:val="outset" w:sz="6" w:space="0" w:color="auto"/>
              <w:bottom w:val="outset" w:sz="6" w:space="0" w:color="auto"/>
              <w:right w:val="outset" w:sz="6" w:space="0" w:color="auto"/>
            </w:tcBorders>
            <w:vAlign w:val="center"/>
          </w:tcPr>
          <w:p w:rsidR="00063DC8" w:rsidRDefault="00063DC8" w:rsidP="008379AE">
            <w:pPr>
              <w:spacing w:after="0" w:line="240" w:lineRule="auto"/>
              <w:rPr>
                <w:noProof/>
              </w:rPr>
            </w:pPr>
            <w:r>
              <w:rPr>
                <w:noProof/>
              </w:rPr>
              <w:drawing>
                <wp:inline distT="0" distB="0" distL="0" distR="0" wp14:anchorId="421EB8BF" wp14:editId="2FA2508D">
                  <wp:extent cx="120396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3960" cy="671830"/>
                          </a:xfrm>
                          <a:prstGeom prst="rect">
                            <a:avLst/>
                          </a:prstGeom>
                        </pic:spPr>
                      </pic:pic>
                    </a:graphicData>
                  </a:graphic>
                </wp:inline>
              </w:drawing>
            </w:r>
          </w:p>
        </w:tc>
        <w:tc>
          <w:tcPr>
            <w:tcW w:w="7522" w:type="dxa"/>
            <w:tcBorders>
              <w:top w:val="outset" w:sz="6" w:space="0" w:color="auto"/>
              <w:left w:val="outset" w:sz="6" w:space="0" w:color="auto"/>
              <w:bottom w:val="outset" w:sz="6" w:space="0" w:color="auto"/>
              <w:right w:val="outset" w:sz="6" w:space="0" w:color="auto"/>
            </w:tcBorders>
            <w:vAlign w:val="center"/>
          </w:tcPr>
          <w:p w:rsidR="00063DC8" w:rsidRDefault="00063DC8" w:rsidP="008379AE">
            <w:pPr>
              <w:spacing w:after="0" w:line="240" w:lineRule="auto"/>
              <w:rPr>
                <w:rFonts w:cstheme="minorHAnsi"/>
              </w:rPr>
            </w:pPr>
            <w:r>
              <w:rPr>
                <w:rFonts w:cstheme="minorHAnsi"/>
              </w:rPr>
              <w:t xml:space="preserve">In this </w:t>
            </w:r>
            <w:hyperlink r:id="rId18" w:history="1">
              <w:r w:rsidRPr="007D787B">
                <w:rPr>
                  <w:rStyle w:val="Hyperlink"/>
                  <w:rFonts w:cstheme="minorHAnsi"/>
                </w:rPr>
                <w:t>article</w:t>
              </w:r>
            </w:hyperlink>
            <w:r>
              <w:rPr>
                <w:rFonts w:cstheme="minorHAnsi"/>
              </w:rPr>
              <w:t xml:space="preserve"> in Government News, Marianne says that when organisations are looking for talented individuals who can tackle problems differently, it is often hard to find them internally if most staff have never worked anywhere else. If you are going to move jobs, though, make sure that job change broadens or progresses your skills base. This </w:t>
            </w:r>
            <w:hyperlink r:id="rId19" w:history="1">
              <w:r w:rsidRPr="00063DC8">
                <w:rPr>
                  <w:rStyle w:val="Hyperlink"/>
                  <w:rFonts w:cstheme="minorHAnsi"/>
                </w:rPr>
                <w:t>post</w:t>
              </w:r>
            </w:hyperlink>
            <w:r>
              <w:rPr>
                <w:rFonts w:cstheme="minorHAnsi"/>
              </w:rPr>
              <w:t xml:space="preserve"> from seek.com.au suggest seven signs that it may be time to change jobs.</w:t>
            </w:r>
          </w:p>
        </w:tc>
      </w:tr>
    </w:tbl>
    <w:p w:rsidR="0037417B" w:rsidRDefault="0037417B"/>
    <w:sectPr w:rsidR="0037417B" w:rsidSect="0091757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BA" w:rsidRDefault="00CA4DBA" w:rsidP="003D53F3">
      <w:pPr>
        <w:spacing w:after="0" w:line="240" w:lineRule="auto"/>
      </w:pPr>
      <w:r>
        <w:separator/>
      </w:r>
    </w:p>
  </w:endnote>
  <w:endnote w:type="continuationSeparator" w:id="0">
    <w:p w:rsidR="00CA4DBA" w:rsidRDefault="00CA4DBA" w:rsidP="003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BA" w:rsidRDefault="00CA4DBA" w:rsidP="003D53F3">
      <w:pPr>
        <w:spacing w:after="0" w:line="240" w:lineRule="auto"/>
      </w:pPr>
      <w:r>
        <w:separator/>
      </w:r>
    </w:p>
  </w:footnote>
  <w:footnote w:type="continuationSeparator" w:id="0">
    <w:p w:rsidR="00CA4DBA" w:rsidRDefault="00CA4DBA" w:rsidP="003D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88"/>
    <w:multiLevelType w:val="hybridMultilevel"/>
    <w:tmpl w:val="ABE62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F6376"/>
    <w:multiLevelType w:val="multilevel"/>
    <w:tmpl w:val="D8D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414F4"/>
    <w:multiLevelType w:val="hybridMultilevel"/>
    <w:tmpl w:val="14FC6B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4C7488F"/>
    <w:multiLevelType w:val="hybridMultilevel"/>
    <w:tmpl w:val="915E6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F3"/>
    <w:rsid w:val="00023924"/>
    <w:rsid w:val="00026B89"/>
    <w:rsid w:val="00034688"/>
    <w:rsid w:val="00063DC8"/>
    <w:rsid w:val="0009199B"/>
    <w:rsid w:val="000F07CF"/>
    <w:rsid w:val="00162FFE"/>
    <w:rsid w:val="00166CA0"/>
    <w:rsid w:val="00197355"/>
    <w:rsid w:val="001A1C00"/>
    <w:rsid w:val="00244A36"/>
    <w:rsid w:val="00275160"/>
    <w:rsid w:val="002C3E57"/>
    <w:rsid w:val="0032234A"/>
    <w:rsid w:val="0037417B"/>
    <w:rsid w:val="00376112"/>
    <w:rsid w:val="003A2624"/>
    <w:rsid w:val="003C7610"/>
    <w:rsid w:val="003D137D"/>
    <w:rsid w:val="003D53F3"/>
    <w:rsid w:val="003F46B8"/>
    <w:rsid w:val="00411F81"/>
    <w:rsid w:val="00417211"/>
    <w:rsid w:val="00450A64"/>
    <w:rsid w:val="004C44F5"/>
    <w:rsid w:val="004F230B"/>
    <w:rsid w:val="00545389"/>
    <w:rsid w:val="005965E0"/>
    <w:rsid w:val="005D3A0D"/>
    <w:rsid w:val="00615DAF"/>
    <w:rsid w:val="00654950"/>
    <w:rsid w:val="00670ECC"/>
    <w:rsid w:val="00677792"/>
    <w:rsid w:val="006962DB"/>
    <w:rsid w:val="00740587"/>
    <w:rsid w:val="00744BF0"/>
    <w:rsid w:val="007B44BC"/>
    <w:rsid w:val="007D787B"/>
    <w:rsid w:val="007E0B60"/>
    <w:rsid w:val="0083269F"/>
    <w:rsid w:val="00833B18"/>
    <w:rsid w:val="008352BE"/>
    <w:rsid w:val="008352ED"/>
    <w:rsid w:val="008379AE"/>
    <w:rsid w:val="00855230"/>
    <w:rsid w:val="008A3534"/>
    <w:rsid w:val="008C7C2F"/>
    <w:rsid w:val="008D0444"/>
    <w:rsid w:val="008D36FC"/>
    <w:rsid w:val="008F1D2F"/>
    <w:rsid w:val="008F2E5D"/>
    <w:rsid w:val="00917577"/>
    <w:rsid w:val="009336E8"/>
    <w:rsid w:val="00983B1E"/>
    <w:rsid w:val="009A1CA5"/>
    <w:rsid w:val="009A2287"/>
    <w:rsid w:val="009B003C"/>
    <w:rsid w:val="009B6E26"/>
    <w:rsid w:val="009E407C"/>
    <w:rsid w:val="00A1411F"/>
    <w:rsid w:val="00A312D2"/>
    <w:rsid w:val="00A328A5"/>
    <w:rsid w:val="00A36A78"/>
    <w:rsid w:val="00A4621E"/>
    <w:rsid w:val="00A959C6"/>
    <w:rsid w:val="00AD2DB0"/>
    <w:rsid w:val="00AD6D01"/>
    <w:rsid w:val="00B00A53"/>
    <w:rsid w:val="00B0383A"/>
    <w:rsid w:val="00B12692"/>
    <w:rsid w:val="00B40087"/>
    <w:rsid w:val="00B93DC6"/>
    <w:rsid w:val="00BF23A8"/>
    <w:rsid w:val="00BF607F"/>
    <w:rsid w:val="00C21275"/>
    <w:rsid w:val="00C468F6"/>
    <w:rsid w:val="00CA4DBA"/>
    <w:rsid w:val="00CB4260"/>
    <w:rsid w:val="00D408D9"/>
    <w:rsid w:val="00D63471"/>
    <w:rsid w:val="00D85551"/>
    <w:rsid w:val="00D94436"/>
    <w:rsid w:val="00DD0F0F"/>
    <w:rsid w:val="00DE3093"/>
    <w:rsid w:val="00DE67F3"/>
    <w:rsid w:val="00E2695E"/>
    <w:rsid w:val="00E94FEA"/>
    <w:rsid w:val="00EB4463"/>
    <w:rsid w:val="00EE6A1A"/>
    <w:rsid w:val="00F049FE"/>
    <w:rsid w:val="00F95637"/>
    <w:rsid w:val="00FC0CA6"/>
    <w:rsid w:val="00FE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D7E3"/>
  <w15:chartTrackingRefBased/>
  <w15:docId w15:val="{DDC9543F-651A-4CC9-9DF0-203860A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2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23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3F3"/>
    <w:rPr>
      <w:color w:val="0563C1" w:themeColor="hyperlink"/>
      <w:u w:val="single"/>
    </w:rPr>
  </w:style>
  <w:style w:type="character" w:styleId="Mention">
    <w:name w:val="Mention"/>
    <w:basedOn w:val="DefaultParagraphFont"/>
    <w:uiPriority w:val="99"/>
    <w:semiHidden/>
    <w:unhideWhenUsed/>
    <w:rsid w:val="003D53F3"/>
    <w:rPr>
      <w:color w:val="2B579A"/>
      <w:shd w:val="clear" w:color="auto" w:fill="E6E6E6"/>
    </w:rPr>
  </w:style>
  <w:style w:type="paragraph" w:styleId="Header">
    <w:name w:val="header"/>
    <w:basedOn w:val="Normal"/>
    <w:link w:val="HeaderChar"/>
    <w:uiPriority w:val="99"/>
    <w:unhideWhenUsed/>
    <w:rsid w:val="003D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3F3"/>
  </w:style>
  <w:style w:type="paragraph" w:styleId="Footer">
    <w:name w:val="footer"/>
    <w:basedOn w:val="Normal"/>
    <w:link w:val="FooterChar"/>
    <w:uiPriority w:val="99"/>
    <w:unhideWhenUsed/>
    <w:rsid w:val="003D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3F3"/>
  </w:style>
  <w:style w:type="character" w:styleId="FollowedHyperlink">
    <w:name w:val="FollowedHyperlink"/>
    <w:basedOn w:val="DefaultParagraphFont"/>
    <w:uiPriority w:val="99"/>
    <w:semiHidden/>
    <w:unhideWhenUsed/>
    <w:rsid w:val="00B93DC6"/>
    <w:rPr>
      <w:color w:val="954F72" w:themeColor="followedHyperlink"/>
      <w:u w:val="single"/>
    </w:rPr>
  </w:style>
  <w:style w:type="character" w:customStyle="1" w:styleId="Heading2Char">
    <w:name w:val="Heading 2 Char"/>
    <w:basedOn w:val="DefaultParagraphFont"/>
    <w:link w:val="Heading2"/>
    <w:uiPriority w:val="9"/>
    <w:rsid w:val="00BF23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23A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40587"/>
    <w:pPr>
      <w:spacing w:after="120" w:line="220" w:lineRule="atLeast"/>
      <w:ind w:left="720"/>
      <w:contextualSpacing/>
    </w:pPr>
    <w:rPr>
      <w:sz w:val="20"/>
    </w:rPr>
  </w:style>
  <w:style w:type="character" w:styleId="Strong">
    <w:name w:val="Strong"/>
    <w:basedOn w:val="DefaultParagraphFont"/>
    <w:uiPriority w:val="22"/>
    <w:qFormat/>
    <w:rsid w:val="00670ECC"/>
    <w:rPr>
      <w:b/>
      <w:bCs/>
    </w:rPr>
  </w:style>
  <w:style w:type="paragraph" w:styleId="NormalWeb">
    <w:name w:val="Normal (Web)"/>
    <w:basedOn w:val="Normal"/>
    <w:uiPriority w:val="99"/>
    <w:semiHidden/>
    <w:unhideWhenUsed/>
    <w:rsid w:val="007D787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469">
      <w:bodyDiv w:val="1"/>
      <w:marLeft w:val="0"/>
      <w:marRight w:val="0"/>
      <w:marTop w:val="0"/>
      <w:marBottom w:val="0"/>
      <w:divBdr>
        <w:top w:val="none" w:sz="0" w:space="0" w:color="auto"/>
        <w:left w:val="none" w:sz="0" w:space="0" w:color="auto"/>
        <w:bottom w:val="none" w:sz="0" w:space="0" w:color="auto"/>
        <w:right w:val="none" w:sz="0" w:space="0" w:color="auto"/>
      </w:divBdr>
    </w:div>
    <w:div w:id="419062557">
      <w:bodyDiv w:val="1"/>
      <w:marLeft w:val="0"/>
      <w:marRight w:val="0"/>
      <w:marTop w:val="0"/>
      <w:marBottom w:val="0"/>
      <w:divBdr>
        <w:top w:val="none" w:sz="0" w:space="0" w:color="auto"/>
        <w:left w:val="none" w:sz="0" w:space="0" w:color="auto"/>
        <w:bottom w:val="none" w:sz="0" w:space="0" w:color="auto"/>
        <w:right w:val="none" w:sz="0" w:space="0" w:color="auto"/>
      </w:divBdr>
    </w:div>
    <w:div w:id="597715254">
      <w:bodyDiv w:val="1"/>
      <w:marLeft w:val="0"/>
      <w:marRight w:val="0"/>
      <w:marTop w:val="0"/>
      <w:marBottom w:val="0"/>
      <w:divBdr>
        <w:top w:val="none" w:sz="0" w:space="0" w:color="auto"/>
        <w:left w:val="none" w:sz="0" w:space="0" w:color="auto"/>
        <w:bottom w:val="none" w:sz="0" w:space="0" w:color="auto"/>
        <w:right w:val="none" w:sz="0" w:space="0" w:color="auto"/>
      </w:divBdr>
      <w:divsChild>
        <w:div w:id="186524442">
          <w:marLeft w:val="0"/>
          <w:marRight w:val="0"/>
          <w:marTop w:val="0"/>
          <w:marBottom w:val="0"/>
          <w:divBdr>
            <w:top w:val="none" w:sz="0" w:space="0" w:color="auto"/>
            <w:left w:val="none" w:sz="0" w:space="0" w:color="auto"/>
            <w:bottom w:val="none" w:sz="0" w:space="0" w:color="auto"/>
            <w:right w:val="none" w:sz="0" w:space="0" w:color="auto"/>
          </w:divBdr>
        </w:div>
        <w:div w:id="763965085">
          <w:marLeft w:val="0"/>
          <w:marRight w:val="0"/>
          <w:marTop w:val="0"/>
          <w:marBottom w:val="0"/>
          <w:divBdr>
            <w:top w:val="none" w:sz="0" w:space="0" w:color="auto"/>
            <w:left w:val="none" w:sz="0" w:space="0" w:color="auto"/>
            <w:bottom w:val="none" w:sz="0" w:space="0" w:color="auto"/>
            <w:right w:val="none" w:sz="0" w:space="0" w:color="auto"/>
          </w:divBdr>
        </w:div>
        <w:div w:id="1391348989">
          <w:marLeft w:val="0"/>
          <w:marRight w:val="0"/>
          <w:marTop w:val="0"/>
          <w:marBottom w:val="0"/>
          <w:divBdr>
            <w:top w:val="none" w:sz="0" w:space="0" w:color="auto"/>
            <w:left w:val="none" w:sz="0" w:space="0" w:color="auto"/>
            <w:bottom w:val="none" w:sz="0" w:space="0" w:color="auto"/>
            <w:right w:val="none" w:sz="0" w:space="0" w:color="auto"/>
          </w:divBdr>
        </w:div>
        <w:div w:id="656425339">
          <w:marLeft w:val="0"/>
          <w:marRight w:val="0"/>
          <w:marTop w:val="0"/>
          <w:marBottom w:val="0"/>
          <w:divBdr>
            <w:top w:val="none" w:sz="0" w:space="0" w:color="auto"/>
            <w:left w:val="none" w:sz="0" w:space="0" w:color="auto"/>
            <w:bottom w:val="none" w:sz="0" w:space="0" w:color="auto"/>
            <w:right w:val="none" w:sz="0" w:space="0" w:color="auto"/>
          </w:divBdr>
        </w:div>
        <w:div w:id="386924743">
          <w:marLeft w:val="0"/>
          <w:marRight w:val="0"/>
          <w:marTop w:val="0"/>
          <w:marBottom w:val="0"/>
          <w:divBdr>
            <w:top w:val="none" w:sz="0" w:space="0" w:color="auto"/>
            <w:left w:val="none" w:sz="0" w:space="0" w:color="auto"/>
            <w:bottom w:val="none" w:sz="0" w:space="0" w:color="auto"/>
            <w:right w:val="none" w:sz="0" w:space="0" w:color="auto"/>
          </w:divBdr>
        </w:div>
        <w:div w:id="1284389471">
          <w:marLeft w:val="0"/>
          <w:marRight w:val="0"/>
          <w:marTop w:val="0"/>
          <w:marBottom w:val="0"/>
          <w:divBdr>
            <w:top w:val="none" w:sz="0" w:space="0" w:color="auto"/>
            <w:left w:val="none" w:sz="0" w:space="0" w:color="auto"/>
            <w:bottom w:val="none" w:sz="0" w:space="0" w:color="auto"/>
            <w:right w:val="none" w:sz="0" w:space="0" w:color="auto"/>
          </w:divBdr>
        </w:div>
        <w:div w:id="1886868022">
          <w:marLeft w:val="0"/>
          <w:marRight w:val="0"/>
          <w:marTop w:val="0"/>
          <w:marBottom w:val="0"/>
          <w:divBdr>
            <w:top w:val="none" w:sz="0" w:space="0" w:color="auto"/>
            <w:left w:val="none" w:sz="0" w:space="0" w:color="auto"/>
            <w:bottom w:val="none" w:sz="0" w:space="0" w:color="auto"/>
            <w:right w:val="none" w:sz="0" w:space="0" w:color="auto"/>
          </w:divBdr>
        </w:div>
        <w:div w:id="206526171">
          <w:marLeft w:val="0"/>
          <w:marRight w:val="0"/>
          <w:marTop w:val="0"/>
          <w:marBottom w:val="0"/>
          <w:divBdr>
            <w:top w:val="none" w:sz="0" w:space="0" w:color="auto"/>
            <w:left w:val="none" w:sz="0" w:space="0" w:color="auto"/>
            <w:bottom w:val="none" w:sz="0" w:space="0" w:color="auto"/>
            <w:right w:val="none" w:sz="0" w:space="0" w:color="auto"/>
          </w:divBdr>
        </w:div>
      </w:divsChild>
    </w:div>
    <w:div w:id="605697838">
      <w:bodyDiv w:val="1"/>
      <w:marLeft w:val="0"/>
      <w:marRight w:val="0"/>
      <w:marTop w:val="0"/>
      <w:marBottom w:val="0"/>
      <w:divBdr>
        <w:top w:val="none" w:sz="0" w:space="0" w:color="auto"/>
        <w:left w:val="none" w:sz="0" w:space="0" w:color="auto"/>
        <w:bottom w:val="none" w:sz="0" w:space="0" w:color="auto"/>
        <w:right w:val="none" w:sz="0" w:space="0" w:color="auto"/>
      </w:divBdr>
      <w:divsChild>
        <w:div w:id="1100762365">
          <w:marLeft w:val="0"/>
          <w:marRight w:val="0"/>
          <w:marTop w:val="0"/>
          <w:marBottom w:val="0"/>
          <w:divBdr>
            <w:top w:val="none" w:sz="0" w:space="0" w:color="auto"/>
            <w:left w:val="none" w:sz="0" w:space="0" w:color="auto"/>
            <w:bottom w:val="none" w:sz="0" w:space="0" w:color="auto"/>
            <w:right w:val="none" w:sz="0" w:space="0" w:color="auto"/>
          </w:divBdr>
          <w:divsChild>
            <w:div w:id="66732609">
              <w:marLeft w:val="0"/>
              <w:marRight w:val="0"/>
              <w:marTop w:val="0"/>
              <w:marBottom w:val="0"/>
              <w:divBdr>
                <w:top w:val="none" w:sz="0" w:space="0" w:color="auto"/>
                <w:left w:val="none" w:sz="0" w:space="0" w:color="auto"/>
                <w:bottom w:val="none" w:sz="0" w:space="0" w:color="auto"/>
                <w:right w:val="none" w:sz="0" w:space="0" w:color="auto"/>
              </w:divBdr>
              <w:divsChild>
                <w:div w:id="14503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9073">
      <w:bodyDiv w:val="1"/>
      <w:marLeft w:val="0"/>
      <w:marRight w:val="0"/>
      <w:marTop w:val="0"/>
      <w:marBottom w:val="0"/>
      <w:divBdr>
        <w:top w:val="none" w:sz="0" w:space="0" w:color="auto"/>
        <w:left w:val="none" w:sz="0" w:space="0" w:color="auto"/>
        <w:bottom w:val="none" w:sz="0" w:space="0" w:color="auto"/>
        <w:right w:val="none" w:sz="0" w:space="0" w:color="auto"/>
      </w:divBdr>
    </w:div>
    <w:div w:id="2078018385">
      <w:bodyDiv w:val="1"/>
      <w:marLeft w:val="0"/>
      <w:marRight w:val="0"/>
      <w:marTop w:val="0"/>
      <w:marBottom w:val="0"/>
      <w:divBdr>
        <w:top w:val="none" w:sz="0" w:space="0" w:color="auto"/>
        <w:left w:val="none" w:sz="0" w:space="0" w:color="auto"/>
        <w:bottom w:val="none" w:sz="0" w:space="0" w:color="auto"/>
        <w:right w:val="none" w:sz="0" w:space="0" w:color="auto"/>
      </w:divBdr>
      <w:divsChild>
        <w:div w:id="475683009">
          <w:marLeft w:val="0"/>
          <w:marRight w:val="0"/>
          <w:marTop w:val="0"/>
          <w:marBottom w:val="0"/>
          <w:divBdr>
            <w:top w:val="none" w:sz="0" w:space="0" w:color="auto"/>
            <w:left w:val="none" w:sz="0" w:space="0" w:color="auto"/>
            <w:bottom w:val="none" w:sz="0" w:space="0" w:color="auto"/>
            <w:right w:val="none" w:sz="0" w:space="0" w:color="auto"/>
          </w:divBdr>
        </w:div>
        <w:div w:id="512302055">
          <w:marLeft w:val="0"/>
          <w:marRight w:val="0"/>
          <w:marTop w:val="0"/>
          <w:marBottom w:val="0"/>
          <w:divBdr>
            <w:top w:val="none" w:sz="0" w:space="0" w:color="auto"/>
            <w:left w:val="none" w:sz="0" w:space="0" w:color="auto"/>
            <w:bottom w:val="none" w:sz="0" w:space="0" w:color="auto"/>
            <w:right w:val="none" w:sz="0" w:space="0" w:color="auto"/>
          </w:divBdr>
          <w:divsChild>
            <w:div w:id="539973706">
              <w:marLeft w:val="0"/>
              <w:marRight w:val="0"/>
              <w:marTop w:val="0"/>
              <w:marBottom w:val="0"/>
              <w:divBdr>
                <w:top w:val="none" w:sz="0" w:space="0" w:color="auto"/>
                <w:left w:val="none" w:sz="0" w:space="0" w:color="auto"/>
                <w:bottom w:val="none" w:sz="0" w:space="0" w:color="auto"/>
                <w:right w:val="none" w:sz="0" w:space="0" w:color="auto"/>
              </w:divBdr>
              <w:divsChild>
                <w:div w:id="1197305467">
                  <w:marLeft w:val="0"/>
                  <w:marRight w:val="0"/>
                  <w:marTop w:val="0"/>
                  <w:marBottom w:val="0"/>
                  <w:divBdr>
                    <w:top w:val="none" w:sz="0" w:space="0" w:color="auto"/>
                    <w:left w:val="none" w:sz="0" w:space="0" w:color="auto"/>
                    <w:bottom w:val="none" w:sz="0" w:space="0" w:color="auto"/>
                    <w:right w:val="none" w:sz="0" w:space="0" w:color="auto"/>
                  </w:divBdr>
                  <w:divsChild>
                    <w:div w:id="636952466">
                      <w:marLeft w:val="0"/>
                      <w:marRight w:val="0"/>
                      <w:marTop w:val="0"/>
                      <w:marBottom w:val="0"/>
                      <w:divBdr>
                        <w:top w:val="none" w:sz="0" w:space="0" w:color="auto"/>
                        <w:left w:val="none" w:sz="0" w:space="0" w:color="auto"/>
                        <w:bottom w:val="none" w:sz="0" w:space="0" w:color="auto"/>
                        <w:right w:val="none" w:sz="0" w:space="0" w:color="auto"/>
                      </w:divBdr>
                      <w:divsChild>
                        <w:div w:id="680008133">
                          <w:marLeft w:val="0"/>
                          <w:marRight w:val="0"/>
                          <w:marTop w:val="0"/>
                          <w:marBottom w:val="0"/>
                          <w:divBdr>
                            <w:top w:val="none" w:sz="0" w:space="0" w:color="auto"/>
                            <w:left w:val="none" w:sz="0" w:space="0" w:color="auto"/>
                            <w:bottom w:val="none" w:sz="0" w:space="0" w:color="auto"/>
                            <w:right w:val="none" w:sz="0" w:space="0" w:color="auto"/>
                          </w:divBdr>
                          <w:divsChild>
                            <w:div w:id="261569582">
                              <w:marLeft w:val="0"/>
                              <w:marRight w:val="0"/>
                              <w:marTop w:val="0"/>
                              <w:marBottom w:val="0"/>
                              <w:divBdr>
                                <w:top w:val="none" w:sz="0" w:space="0" w:color="auto"/>
                                <w:left w:val="none" w:sz="0" w:space="0" w:color="auto"/>
                                <w:bottom w:val="none" w:sz="0" w:space="0" w:color="auto"/>
                                <w:right w:val="none" w:sz="0" w:space="0" w:color="auto"/>
                              </w:divBdr>
                            </w:div>
                            <w:div w:id="2135251660">
                              <w:marLeft w:val="0"/>
                              <w:marRight w:val="0"/>
                              <w:marTop w:val="0"/>
                              <w:marBottom w:val="0"/>
                              <w:divBdr>
                                <w:top w:val="none" w:sz="0" w:space="0" w:color="auto"/>
                                <w:left w:val="none" w:sz="0" w:space="0" w:color="auto"/>
                                <w:bottom w:val="none" w:sz="0" w:space="0" w:color="auto"/>
                                <w:right w:val="none" w:sz="0" w:space="0" w:color="auto"/>
                              </w:divBdr>
                              <w:divsChild>
                                <w:div w:id="1403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ted.com/on/4iAj3EQu" TargetMode="External"/><Relationship Id="rId18" Type="http://schemas.openxmlformats.org/officeDocument/2006/relationships/hyperlink" Target="http://www.governmentnews.com.au/2015/01/diversity-in-your-career-does-it-mat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mentoring-works.com/career-agility-in-the-21st-centu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s286790.blob.core.windows.net/docs/mentoring/NGS_Broadbent_Top10List_IPAA_1705C.pptx"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www.seek.com.au/career-advice/7-signs-its-time-to-change-jobs" TargetMode="External"/><Relationship Id="rId4" Type="http://schemas.openxmlformats.org/officeDocument/2006/relationships/webSettings" Target="webSettings.xml"/><Relationship Id="rId9" Type="http://schemas.openxmlformats.org/officeDocument/2006/relationships/hyperlink" Target="https://www.forbes.com/sites/kathycaprino/2016/06/15/10-ways-to-brave-up-how-to-rise-up-speak-up-and-stand-up-boldly-for-yourself/" TargetMode="External"/><Relationship Id="rId14" Type="http://schemas.openxmlformats.org/officeDocument/2006/relationships/hyperlink" Target="https://www.tomedes.com/translator-hub/three-ted-talks-to-help-you-market-yourself-hu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Paterson</dc:creator>
  <cp:keywords/>
  <dc:description/>
  <cp:lastModifiedBy>Paulette Paterson</cp:lastModifiedBy>
  <cp:revision>2</cp:revision>
  <dcterms:created xsi:type="dcterms:W3CDTF">2017-06-06T02:44:00Z</dcterms:created>
  <dcterms:modified xsi:type="dcterms:W3CDTF">2017-06-06T02:44:00Z</dcterms:modified>
</cp:coreProperties>
</file>